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BB0" w:rsidRDefault="005C55D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Dunakeszi Város Önkormányzata Képviselő-testületének ../2022.(VII….) számú önkormányzati rendelete a várakozási terület használatának szabályairól szóló 16/2017. (VII. 05.) számú</w:t>
      </w:r>
    </w:p>
    <w:p w:rsidR="00785BB0" w:rsidRDefault="005C55D0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önkormányzati rendelet</w:t>
      </w: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ének módosításáról</w:t>
      </w:r>
    </w:p>
    <w:p w:rsidR="00785BB0" w:rsidRDefault="00785B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Önkormányzatának Képviselő-testülete Magyarország helyi önkormányzatairól szóló 2011. évi CLXXXIX. törvény 13. § (1) bekezdés 2. pontjában meghatározott feladatkörében eljárva, a közúti közlekedésről szóló 1988. évi I. törvény 48. § (5) bekezdésében foglalt felhatalmazás alapján a Dunakeszi Város várakozási terület használatának szabályairól szóló 16/2017.(VII.05.) számú önkormányzati rendeletét (továbbiakban: Rendelet) az alábbiak szerint módosítja:</w:t>
      </w:r>
    </w:p>
    <w:p w:rsidR="00785BB0" w:rsidRDefault="00785BB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1. §</w:t>
      </w:r>
    </w:p>
    <w:p w:rsidR="00785BB0" w:rsidRDefault="00785B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Rendelet 2. § (1) bekezdése az alábbi ponttal egészül ki:</w:t>
      </w:r>
    </w:p>
    <w:p w:rsidR="00785BB0" w:rsidRDefault="00785B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l) Dunakeszi belterület, 3166 (Verseny utca) hrsz-ú ingatlanon a Kincsem és a Pavilon utcák közötti szakaszon az úttal párhuzamosan a P+R parkoló oldalán kiépített parkolóhely.</w:t>
      </w:r>
    </w:p>
    <w:p w:rsidR="00785BB0" w:rsidRDefault="00785BB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2. §</w:t>
      </w:r>
    </w:p>
    <w:p w:rsidR="00785BB0" w:rsidRDefault="00785BB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Rendelet 2. §-a az alábbi bekezdéssel egészül ki:</w:t>
      </w:r>
    </w:p>
    <w:p w:rsidR="00785BB0" w:rsidRDefault="00785B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(11) Az (1) bekezdés l) pontja szerinti ingatlan elhelyezkedésének térképes vázrajzát a jelen rendelet 10. számú melléklete tartalmazza.</w:t>
      </w:r>
    </w:p>
    <w:p w:rsidR="00785BB0" w:rsidRDefault="00785BB0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3. §</w:t>
      </w:r>
    </w:p>
    <w:p w:rsidR="00785BB0" w:rsidRDefault="00785B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hu-HU"/>
        </w:rPr>
      </w:pPr>
    </w:p>
    <w:p w:rsidR="00785BB0" w:rsidRDefault="005C55D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Rendelet 4. §-ának (1) bekezdése az alábbi ponttal egészül ki:</w:t>
      </w:r>
    </w:p>
    <w:p w:rsidR="00785BB0" w:rsidRDefault="00785B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l) a 2. § (1) bekezdés l) pontja szerint megjelölt területen nem haladhatja meg a 2 órát. </w:t>
      </w:r>
    </w:p>
    <w:p w:rsidR="00785BB0" w:rsidRDefault="00785BB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4. §</w:t>
      </w:r>
    </w:p>
    <w:p w:rsidR="00785BB0" w:rsidRDefault="00785BB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E rendelet 1. számú melléklete a Rendelet 10. számú mellékletévé válik.</w:t>
      </w:r>
    </w:p>
    <w:p w:rsidR="00785BB0" w:rsidRDefault="00785B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§</w:t>
      </w:r>
    </w:p>
    <w:p w:rsidR="00785BB0" w:rsidRDefault="00785B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Jelen rendelet a kihirdetés napján lép hatályba, a kihirdetést követő napon pedig hatályát veszti.</w:t>
      </w:r>
    </w:p>
    <w:p w:rsidR="00785BB0" w:rsidRDefault="00785B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BB0" w:rsidRDefault="00785B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BB0" w:rsidRDefault="00785B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lang w:eastAsia="hu-HU"/>
        </w:rPr>
        <w:t xml:space="preserve">Dr. Molnár György                                                                      Dióssi Csaba </w:t>
      </w:r>
    </w:p>
    <w:p w:rsidR="00785BB0" w:rsidRDefault="005C55D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lang w:eastAsia="hu-HU"/>
        </w:rPr>
        <w:t>                       jegyző                                                                                     polgármester</w:t>
      </w:r>
    </w:p>
    <w:p w:rsidR="00785BB0" w:rsidRDefault="00785BB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hu-HU"/>
        </w:rPr>
      </w:pPr>
    </w:p>
    <w:p w:rsidR="00785BB0" w:rsidRDefault="005C55D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hu-HU"/>
        </w:rPr>
        <w:t>Kihirdetési záradék:</w:t>
      </w:r>
    </w:p>
    <w:p w:rsidR="00785BB0" w:rsidRDefault="005C55D0">
      <w:pPr>
        <w:spacing w:after="0" w:line="240" w:lineRule="auto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Kihirdetve: 2022.(...)</w:t>
      </w:r>
    </w:p>
    <w:p w:rsidR="00785BB0" w:rsidRDefault="00785BB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u-HU"/>
        </w:rPr>
      </w:pPr>
    </w:p>
    <w:p w:rsidR="00785BB0" w:rsidRDefault="00785BB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u-HU"/>
        </w:rPr>
      </w:pPr>
    </w:p>
    <w:p w:rsidR="00785BB0" w:rsidRDefault="00785BB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u-HU"/>
        </w:rPr>
      </w:pPr>
    </w:p>
    <w:p w:rsidR="00785BB0" w:rsidRDefault="005C55D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u-HU"/>
        </w:rPr>
        <w:lastRenderedPageBreak/>
        <w:t>Dr. Molnár György</w:t>
      </w:r>
    </w:p>
    <w:p w:rsidR="00785BB0" w:rsidRDefault="005C55D0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u-HU"/>
        </w:rPr>
        <w:t xml:space="preserve">         jegyző</w:t>
      </w:r>
    </w:p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785BB0"/>
    <w:p w:rsidR="00785BB0" w:rsidRDefault="005C55D0">
      <w:pPr>
        <w:ind w:left="7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számú melléklet</w:t>
      </w:r>
    </w:p>
    <w:p w:rsidR="00785BB0" w:rsidRDefault="00785BB0"/>
    <w:p w:rsidR="00785BB0" w:rsidRDefault="005C55D0">
      <w:r>
        <w:rPr>
          <w:noProof/>
          <w:lang w:eastAsia="hu-HU"/>
        </w:rPr>
        <w:drawing>
          <wp:inline distT="0" distB="0" distL="0" distR="0">
            <wp:extent cx="5760720" cy="6449345"/>
            <wp:effectExtent l="0" t="0" r="0" b="8605"/>
            <wp:docPr id="1" name="Kép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4493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sectPr w:rsidR="00785BB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456" w:rsidRDefault="005C55D0">
      <w:pPr>
        <w:spacing w:after="0" w:line="240" w:lineRule="auto"/>
      </w:pPr>
      <w:r>
        <w:separator/>
      </w:r>
    </w:p>
  </w:endnote>
  <w:endnote w:type="continuationSeparator" w:id="0">
    <w:p w:rsidR="006E1456" w:rsidRDefault="005C5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456" w:rsidRDefault="005C55D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E1456" w:rsidRDefault="005C55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BB0"/>
    <w:rsid w:val="005C55D0"/>
    <w:rsid w:val="006E1456"/>
    <w:rsid w:val="00785BB0"/>
    <w:rsid w:val="00F3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F2D1F5-24B7-4705-BD12-2FBF3520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F30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06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234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Dombováriné dr. Kozák Nikolett</dc:creator>
  <dc:description/>
  <cp:lastModifiedBy>Forgács Andrea</cp:lastModifiedBy>
  <cp:revision>2</cp:revision>
  <cp:lastPrinted>2022-07-22T05:51:00Z</cp:lastPrinted>
  <dcterms:created xsi:type="dcterms:W3CDTF">2022-07-22T05:52:00Z</dcterms:created>
  <dcterms:modified xsi:type="dcterms:W3CDTF">2022-07-22T05:52:00Z</dcterms:modified>
</cp:coreProperties>
</file>